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18/02/2025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Monsieur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PEREZ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ALEXANDRE PIERRE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51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RUE DE LONGUES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63730</w:t>
      </w:r>
      <w:r>
        <w:rPr>
          <w:sz w:val="22"/>
        </w:rPr>
        <w:t xml:space="preserve">  </w:t>
      </w:r>
      <w:r>
        <w:rPr>
          <w:noProof/>
          <w:sz w:val="22"/>
        </w:rPr>
        <w:t>LES MARTRES DE VEYRE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noProof/>
          <w:sz w:val="22"/>
        </w:rPr>
        <w:t>57</w:t>
      </w:r>
      <w:r>
        <w:rPr>
          <w:sz w:val="22"/>
        </w:rPr>
        <w:t xml:space="preserve"> </w:t>
      </w:r>
      <w:r>
        <w:rPr>
          <w:noProof/>
          <w:sz w:val="22"/>
        </w:rPr>
        <w:t>AV DE LA GARE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AH 1514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194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25 00019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2025-02-19T16:31:06Z</dcterms:created>
  <dcterms:modified xsi:type="dcterms:W3CDTF">2025-02-19T16:31:06Z</dcterms:modified>
</cp:coreProperties>
</file>